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850"/>
        <w:gridCol w:w="7984"/>
        <w:gridCol w:w="1088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Вопрос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БАЛЛЫ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В) человек - машина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А) холодильник</w:t>
            </w:r>
          </w:p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В) стиральная машина</w:t>
            </w:r>
          </w:p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Д) робот-пылесос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31500 рублей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2465 грамм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А) человек - человек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В) Резец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0,08 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В) Кернер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275 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Б) Киянка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Б) Ни один датчик не видит черной линии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А) Шиповое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12 В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Д) Шабер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Г) Сверление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lang w:val="en-US"/>
              </w:rPr>
              <w:t>16000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А) Вороток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ОЦЕНКА КЕЙСА:</w:t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705"/>
        <w:gridCol w:w="7062"/>
        <w:gridCol w:w="2153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Критерии оценки кейса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</w:tr>
      <w:tr>
        <w:trPr>
          <w:trHeight w:val="2548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Правильный ответ:</w:t>
            </w:r>
          </w:p>
          <w:tbl>
            <w:tblPr>
              <w:tblStyle w:val="ae"/>
              <w:tblW w:w="6599" w:type="dxa"/>
              <w:jc w:val="center"/>
              <w:tblInd w:w="0" w:type="dxa"/>
              <w:tblLayout w:type="fixed"/>
              <w:tblCellMar>
                <w:top w:w="0" w:type="dxa"/>
                <w:left w:w="5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808"/>
              <w:gridCol w:w="2480"/>
              <w:gridCol w:w="2311"/>
            </w:tblGrid>
            <w:tr>
              <w:trPr/>
              <w:tc>
                <w:tcPr>
                  <w:tcW w:w="1808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Номер детали</w:t>
                  </w:r>
                </w:p>
              </w:tc>
              <w:tc>
                <w:tcPr>
                  <w:tcW w:w="2480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Площадь, мм</w:t>
                  </w: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vertAlign w:val="superscript"/>
                      <w:lang w:val="ru-RU" w:eastAsia="en-US" w:bidi="ar-SA"/>
                    </w:rPr>
                    <w:t>2</w:t>
                  </w:r>
                </w:p>
              </w:tc>
              <w:tc>
                <w:tcPr>
                  <w:tcW w:w="231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Цвет</w:t>
                  </w:r>
                </w:p>
              </w:tc>
            </w:tr>
            <w:tr>
              <w:trPr>
                <w:trHeight w:val="193" w:hRule="atLeast"/>
              </w:trPr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1800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Синий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2200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Оранжевый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3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1800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Желтый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4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1400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Розовый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5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1800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Красный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6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1000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Белый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7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1800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Черный</w:t>
                  </w:r>
                </w:p>
              </w:tc>
            </w:tr>
            <w:tr>
              <w:trPr/>
              <w:tc>
                <w:tcPr>
                  <w:tcW w:w="1808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8</w:t>
                  </w:r>
                </w:p>
              </w:tc>
              <w:tc>
                <w:tcPr>
                  <w:tcW w:w="24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1600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Зеленый</w:t>
                  </w:r>
                </w:p>
              </w:tc>
            </w:tr>
            <w:tr>
              <w:trPr/>
              <w:tc>
                <w:tcPr>
                  <w:tcW w:w="4288" w:type="dxa"/>
                  <w:gridSpan w:val="2"/>
                  <w:tcBorders>
                    <w:top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Габаритные размеры пазла в сборе</w:t>
                  </w:r>
                </w:p>
              </w:tc>
              <w:tc>
                <w:tcPr>
                  <w:tcW w:w="2311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uppressAutoHyphens w:val="false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i/>
                      <w:iCs/>
                      <w:kern w:val="0"/>
                      <w:sz w:val="20"/>
                      <w:szCs w:val="20"/>
                      <w:lang w:val="ru-RU" w:eastAsia="en-US" w:bidi="ar-SA"/>
                    </w:rPr>
                    <w:t>100х150х10 мм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1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Правильно указанная площадь фигуры 2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3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4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5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6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7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Правильно указанная площадь фигуры 8 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Правильное соответствие цветов фигур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Соответствие габаритных размеров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ТЕХТВОРЧЕСТВО — 7-8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 xml:space="preserve">ОТВЕТЫ </w:t>
    </w:r>
    <w:r>
      <w:rPr>
        <w:rFonts w:ascii="Arial" w:hAnsi="Arial"/>
        <w:b/>
        <w:bCs/>
        <w:color w:val="000000"/>
        <w:sz w:val="20"/>
        <w:szCs w:val="20"/>
        <w:lang w:val="ru-RU"/>
      </w:rPr>
      <w:t>и КРИТЕРИИ ОЦЕНКИ КЕЙС</w:t>
    </w:r>
    <w:r>
      <w:rPr>
        <w:rFonts w:ascii="Arial" w:hAnsi="Arial"/>
        <w:b/>
        <w:bCs/>
        <w:color w:val="000000"/>
        <w:sz w:val="20"/>
        <w:szCs w:val="20"/>
        <w:lang w:val="ru-RU"/>
      </w:rPr>
      <w:t>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4d061b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LibreOffice/7.3.5.2$Windows_X86_64 LibreOffice_project/184fe81b8c8c30d8b5082578aee2fed2ea847c01</Application>
  <AppVersion>15.0000</AppVersion>
  <Pages>1</Pages>
  <Words>227</Words>
  <Characters>975</Characters>
  <CharactersWithSpaces>1079</CharactersWithSpaces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2023-12-02T23:19:06Z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